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B985D" w14:textId="43B8A2E8" w:rsidR="008B40A5" w:rsidRPr="00D03AAD" w:rsidRDefault="002C1937" w:rsidP="00CA0CA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  <w:lang w:val="cs"/>
        </w:rPr>
        <w:t xml:space="preserve">Zveřejnění produktu na webových stránkách v návaznosti na čl. 10 (1) nařízení </w:t>
      </w:r>
      <w:r w:rsidR="00BC02AF">
        <w:rPr>
          <w:rFonts w:cstheme="minorHAnsi"/>
          <w:b/>
          <w:bCs/>
          <w:color w:val="FF0000"/>
          <w:sz w:val="24"/>
          <w:szCs w:val="24"/>
          <w:lang w:val="cs"/>
        </w:rPr>
        <w:br/>
      </w:r>
      <w:r>
        <w:rPr>
          <w:rFonts w:cstheme="minorHAnsi"/>
          <w:b/>
          <w:bCs/>
          <w:color w:val="FF0000"/>
          <w:sz w:val="24"/>
          <w:szCs w:val="24"/>
          <w:lang w:val="cs"/>
        </w:rPr>
        <w:t xml:space="preserve">o zveřejňování informací souvisejících s udržitelností v odvětví finančních služeb </w:t>
      </w:r>
      <w:r w:rsidR="00BC02AF">
        <w:rPr>
          <w:rFonts w:cstheme="minorHAnsi"/>
          <w:b/>
          <w:bCs/>
          <w:color w:val="FF0000"/>
          <w:sz w:val="24"/>
          <w:szCs w:val="24"/>
          <w:lang w:val="cs"/>
        </w:rPr>
        <w:br/>
      </w:r>
      <w:r>
        <w:rPr>
          <w:rFonts w:cstheme="minorHAnsi"/>
          <w:b/>
          <w:bCs/>
          <w:color w:val="FF0000"/>
          <w:sz w:val="24"/>
          <w:szCs w:val="24"/>
          <w:lang w:val="cs"/>
        </w:rPr>
        <w:t xml:space="preserve">pro účely čl. 8 podfondy </w:t>
      </w:r>
    </w:p>
    <w:p w14:paraId="5E70ED2B" w14:textId="77777777" w:rsidR="008B40A5" w:rsidRPr="00D03AAD" w:rsidRDefault="002C1937" w:rsidP="00CA0CA1">
      <w:pPr>
        <w:jc w:val="center"/>
        <w:rPr>
          <w:b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  <w:lang w:val="cs"/>
        </w:rPr>
        <w:t>SHRNUTÍ</w:t>
      </w:r>
    </w:p>
    <w:p w14:paraId="7207B8A6" w14:textId="2D43B8A9" w:rsidR="001B13EB" w:rsidRDefault="001B13EB" w:rsidP="00C15A78">
      <w:pPr>
        <w:ind w:left="-851" w:right="-851"/>
      </w:pPr>
    </w:p>
    <w:tbl>
      <w:tblPr>
        <w:tblStyle w:val="TableGrid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C70481" w14:paraId="3A58E765" w14:textId="77777777" w:rsidTr="003F0A0C">
        <w:tc>
          <w:tcPr>
            <w:tcW w:w="5387" w:type="dxa"/>
          </w:tcPr>
          <w:p w14:paraId="3E33FD6D" w14:textId="77777777" w:rsidR="002C1937" w:rsidRDefault="002C1937" w:rsidP="002C1937">
            <w:pPr>
              <w:ind w:left="750" w:right="-851"/>
              <w:jc w:val="both"/>
            </w:pPr>
            <w:r>
              <w:rPr>
                <w:b/>
                <w:bCs/>
                <w:lang w:val="cs"/>
              </w:rPr>
              <w:t>Název produktu</w:t>
            </w:r>
            <w:r>
              <w:rPr>
                <w:lang w:val="cs"/>
              </w:rPr>
              <w:t xml:space="preserve">: </w:t>
            </w:r>
          </w:p>
          <w:p w14:paraId="3A4A049C" w14:textId="12396067" w:rsidR="005E1D0B" w:rsidRPr="005E1D0B" w:rsidRDefault="002C1937" w:rsidP="002C1937">
            <w:pPr>
              <w:ind w:left="750" w:right="-851"/>
              <w:jc w:val="both"/>
            </w:pPr>
            <w:r>
              <w:rPr>
                <w:lang w:val="cs"/>
              </w:rPr>
              <w:t>CPR INVEST – GLOBAL DISRUPTIVE OPPORTUNITIES</w:t>
            </w:r>
          </w:p>
        </w:tc>
        <w:tc>
          <w:tcPr>
            <w:tcW w:w="5103" w:type="dxa"/>
          </w:tcPr>
          <w:p w14:paraId="654F9555" w14:textId="77777777" w:rsidR="002C1937" w:rsidRDefault="002C1937" w:rsidP="00BC02AF">
            <w:pPr>
              <w:ind w:left="1172" w:right="27"/>
            </w:pPr>
            <w:r>
              <w:rPr>
                <w:b/>
                <w:bCs/>
                <w:lang w:val="cs"/>
              </w:rPr>
              <w:t>Identifikační kód právnické osoby</w:t>
            </w:r>
            <w:r>
              <w:rPr>
                <w:lang w:val="cs"/>
              </w:rPr>
              <w:t xml:space="preserve">: </w:t>
            </w:r>
          </w:p>
          <w:p w14:paraId="449F9D0D" w14:textId="1D1FBAD7" w:rsidR="005E1D0B" w:rsidRPr="005E1D0B" w:rsidRDefault="002C1937" w:rsidP="00BC02AF">
            <w:pPr>
              <w:ind w:left="1172" w:right="27"/>
            </w:pPr>
            <w:r>
              <w:rPr>
                <w:lang w:val="cs"/>
              </w:rPr>
              <w:t>222100LU67GQT03SEE74</w:t>
            </w:r>
          </w:p>
        </w:tc>
      </w:tr>
    </w:tbl>
    <w:p w14:paraId="69DD299F" w14:textId="77777777" w:rsidR="00252E7E" w:rsidRPr="005E1D0B" w:rsidRDefault="00252E7E" w:rsidP="00C15A78">
      <w:pPr>
        <w:pStyle w:val="Heading2"/>
        <w:ind w:left="-851" w:right="-851"/>
        <w:jc w:val="both"/>
      </w:pPr>
    </w:p>
    <w:p w14:paraId="6B980FDB" w14:textId="44844A26" w:rsidR="00CB6D7C" w:rsidRDefault="00CB6D7C" w:rsidP="00C15A78">
      <w:pPr>
        <w:ind w:left="-851" w:right="-851"/>
        <w:jc w:val="both"/>
      </w:pPr>
    </w:p>
    <w:p w14:paraId="221D7E94" w14:textId="32AB1DAC" w:rsidR="00660D2A" w:rsidRDefault="002C1937" w:rsidP="00660D2A">
      <w:pPr>
        <w:pStyle w:val="Heading2"/>
        <w:jc w:val="both"/>
        <w:rPr>
          <w:b/>
          <w:color w:val="auto"/>
        </w:rPr>
      </w:pPr>
      <w:r>
        <w:rPr>
          <w:b/>
          <w:bCs/>
          <w:color w:val="auto"/>
          <w:lang w:val="cs"/>
        </w:rPr>
        <w:t>Žádný udržitelný investiční cíl</w:t>
      </w:r>
    </w:p>
    <w:p w14:paraId="699E0DF9" w14:textId="77777777" w:rsidR="00660D2A" w:rsidRPr="00660D2A" w:rsidRDefault="00660D2A" w:rsidP="00660D2A"/>
    <w:p w14:paraId="4263D541" w14:textId="6F8AF607" w:rsidR="00660D2A" w:rsidRDefault="002C1937" w:rsidP="00660D2A">
      <w:pPr>
        <w:jc w:val="both"/>
      </w:pPr>
      <w:r>
        <w:rPr>
          <w:lang w:val="cs"/>
        </w:rPr>
        <w:t>Tento finanční produkt podporuje environmentální nebo sociální charakteristiky, jeho cílem však nejsou udržitelné investice</w:t>
      </w:r>
    </w:p>
    <w:p w14:paraId="25A15EC7" w14:textId="77777777" w:rsidR="00660D2A" w:rsidRDefault="00660D2A" w:rsidP="00660D2A">
      <w:pPr>
        <w:jc w:val="both"/>
      </w:pPr>
    </w:p>
    <w:p w14:paraId="1AF35F3C" w14:textId="41AE1DCF" w:rsidR="00660D2A" w:rsidRDefault="002C1937" w:rsidP="00660D2A">
      <w:pPr>
        <w:pStyle w:val="Heading2"/>
        <w:jc w:val="both"/>
        <w:rPr>
          <w:b/>
          <w:color w:val="auto"/>
        </w:rPr>
      </w:pPr>
      <w:r>
        <w:rPr>
          <w:b/>
          <w:bCs/>
          <w:color w:val="auto"/>
          <w:lang w:val="cs"/>
        </w:rPr>
        <w:t>Environmentální nebo sociální charakteristiky finančního produktu</w:t>
      </w:r>
    </w:p>
    <w:p w14:paraId="4FBA6710" w14:textId="77777777" w:rsidR="00660D2A" w:rsidRPr="00660D2A" w:rsidRDefault="00660D2A" w:rsidP="00660D2A"/>
    <w:p w14:paraId="58418D74" w14:textId="67842AF1" w:rsidR="002C1937" w:rsidRDefault="002C1937" w:rsidP="00660D2A">
      <w:pPr>
        <w:jc w:val="both"/>
      </w:pPr>
      <w:r>
        <w:rPr>
          <w:lang w:val="cs"/>
        </w:rPr>
        <w:t xml:space="preserve">Podfond propaguje environmentální a/nebo sociální charakteristiky tím, že se snaží dosáhnout vyššího skóre ESG, než je skóre indexu MSCI World Net Return Index (dále jen „referenční index“). </w:t>
      </w:r>
    </w:p>
    <w:p w14:paraId="2AE703FB" w14:textId="54705D34" w:rsidR="005E1D0B" w:rsidRDefault="002C1937" w:rsidP="00660D2A">
      <w:pPr>
        <w:jc w:val="both"/>
      </w:pPr>
      <w:r>
        <w:rPr>
          <w:lang w:val="cs"/>
        </w:rPr>
        <w:t>Při určování skóre ESG podfondu a benchmarku se výkonnost ESG posuzuje porovnáním průměrné výkonnosti cenného papíru a odvětví emitenta cenných papírů, a to s ohledem na všechny tři charakteristiky ESG – environmentální, sociální a správní. Referenční index je široký tržní index, který nehodnotí ani nezahrnuje složky podle environmentálních a/nebo sociálních charakteristik, a proto není zamýšlen coby konzistentní s charakteristikami propagovanými podfondem. Nebyl stanoven žádný referenční benchmark pro ESG.</w:t>
      </w:r>
    </w:p>
    <w:p w14:paraId="45E23E26" w14:textId="1377012A" w:rsidR="00660D2A" w:rsidRDefault="00660D2A" w:rsidP="00660D2A">
      <w:pPr>
        <w:jc w:val="both"/>
      </w:pPr>
    </w:p>
    <w:p w14:paraId="7DBA6510" w14:textId="24F0387B" w:rsidR="00660D2A" w:rsidRDefault="002C1937" w:rsidP="00660D2A">
      <w:pPr>
        <w:pStyle w:val="Heading2"/>
        <w:jc w:val="both"/>
        <w:rPr>
          <w:b/>
          <w:color w:val="auto"/>
        </w:rPr>
      </w:pPr>
      <w:r>
        <w:rPr>
          <w:b/>
          <w:bCs/>
          <w:color w:val="auto"/>
          <w:lang w:val="cs"/>
        </w:rPr>
        <w:t>Podíl investic</w:t>
      </w:r>
    </w:p>
    <w:p w14:paraId="5AE8D88A" w14:textId="0570C1A7" w:rsidR="002C1937" w:rsidRDefault="002C1937" w:rsidP="00CA0CA1">
      <w:pPr>
        <w:spacing w:after="0"/>
        <w:jc w:val="both"/>
      </w:pPr>
      <w:r>
        <w:rPr>
          <w:lang w:val="cs"/>
        </w:rPr>
        <w:cr/>
        <w:t xml:space="preserve">Alespoň 75 % cenných papírů a nástrojů daného podfondu bude použito ke splnění propagovaných environmentálních nebo sociálních charakteristik v souladu se závaznými prvky investiční strategie podfondu. </w:t>
      </w:r>
    </w:p>
    <w:p w14:paraId="5ED61726" w14:textId="77777777" w:rsidR="00CA0CA1" w:rsidRDefault="00CA0CA1" w:rsidP="00CA0CA1">
      <w:pPr>
        <w:spacing w:after="0"/>
        <w:jc w:val="both"/>
      </w:pPr>
    </w:p>
    <w:p w14:paraId="0B509AAC" w14:textId="3E5F0881" w:rsidR="005E1D0B" w:rsidRDefault="002C1937" w:rsidP="00CA0CA1">
      <w:pPr>
        <w:spacing w:after="0"/>
        <w:jc w:val="both"/>
      </w:pPr>
      <w:r>
        <w:rPr>
          <w:lang w:val="cs"/>
        </w:rPr>
        <w:t>Podfond se dále zavazuje, že bude mít nejméně 10 % udržitelných investic podle níže uvedené tabulky. Investice v souladu s dalšími charakteristikami E/S budou představovat rozdíl mezi skutečným podílem investic v souladu s environmentálními nebo sociálními charakteristikami a skutečným podílem udržitelných investic. Plánovaný podíl jiných environmentálních investic představuje minimálně 10 % a mohou se měnit podle skutečného podílu taxonomických a/nebo zvýšení sociálních investic.</w:t>
      </w:r>
    </w:p>
    <w:p w14:paraId="7ED0F757" w14:textId="31ADAF61" w:rsidR="00660D2A" w:rsidRDefault="00660D2A" w:rsidP="00660D2A">
      <w:pPr>
        <w:jc w:val="both"/>
      </w:pPr>
    </w:p>
    <w:p w14:paraId="64A1BF8B" w14:textId="77777777" w:rsidR="00CA0CA1" w:rsidRDefault="00CA0CA1" w:rsidP="00660D2A">
      <w:pPr>
        <w:jc w:val="both"/>
      </w:pPr>
    </w:p>
    <w:p w14:paraId="4B2FDE0F" w14:textId="505A798B" w:rsidR="00660D2A" w:rsidRDefault="002C1937" w:rsidP="00660D2A">
      <w:pPr>
        <w:pStyle w:val="Heading2"/>
        <w:jc w:val="both"/>
        <w:rPr>
          <w:b/>
          <w:color w:val="auto"/>
        </w:rPr>
      </w:pPr>
      <w:r>
        <w:rPr>
          <w:b/>
          <w:bCs/>
          <w:color w:val="auto"/>
          <w:lang w:val="cs"/>
        </w:rPr>
        <w:lastRenderedPageBreak/>
        <w:t>Monitorování, metodologie, zdroje dat a jejich omezení, zásady náležité péče a angažovanosti;</w:t>
      </w:r>
    </w:p>
    <w:p w14:paraId="523075A6" w14:textId="77777777" w:rsidR="00CA0CA1" w:rsidRDefault="00CA0CA1" w:rsidP="00CA0CA1">
      <w:pPr>
        <w:spacing w:after="0"/>
        <w:jc w:val="both"/>
      </w:pPr>
    </w:p>
    <w:p w14:paraId="0821B033" w14:textId="281E3A79" w:rsidR="00CA0CA1" w:rsidRDefault="002C1937" w:rsidP="00CA0CA1">
      <w:pPr>
        <w:spacing w:after="0"/>
        <w:jc w:val="both"/>
      </w:pPr>
      <w:r>
        <w:rPr>
          <w:lang w:val="cs"/>
        </w:rPr>
        <w:t>Veškerá data týkající se ESG, ať již externě nebo interně zpracovaná, jsou centralizována oblastí odpovědného investování (Responsible Investment Business), jež je odpovědná za řízení kvality vstupů a zpracovaných výstupů týkajících se ESG. Součástí tohoto monitorování je automatizovaná kontrola kvality a kvalitativní kontrola prováděná analytiky ESG, kteří jsou specialisty ve svém odvětví. Skóre ESG se aktualizuje na měsíční bázi v rámci modulu proprietárního nástroje společnosti Amundi – Stock Rating Integrator (SRI).</w:t>
      </w:r>
    </w:p>
    <w:p w14:paraId="2F760A75" w14:textId="77777777" w:rsidR="00CA0CA1" w:rsidRDefault="00CA0CA1" w:rsidP="00CA0CA1">
      <w:pPr>
        <w:spacing w:after="0"/>
        <w:jc w:val="both"/>
      </w:pPr>
    </w:p>
    <w:p w14:paraId="4764AD5B" w14:textId="00D967F6" w:rsidR="00CA0CA1" w:rsidRDefault="002C1937" w:rsidP="00CA0CA1">
      <w:pPr>
        <w:spacing w:after="0"/>
        <w:jc w:val="both"/>
      </w:pPr>
      <w:r>
        <w:rPr>
          <w:lang w:val="cs"/>
        </w:rPr>
        <w:t>Indikátory udržitelnosti používané ve společnosti Amundi spoléhají na patentované metodologie. Tyto ukazatele jsou trvale k dispozici v systému správy portfolia, což manažerům portfolia umožňuje posoudit dopad jejich investičních rozhodnutí.</w:t>
      </w:r>
    </w:p>
    <w:p w14:paraId="742C6EB5" w14:textId="77777777" w:rsidR="00CA0CA1" w:rsidRDefault="00CA0CA1" w:rsidP="00CA0CA1">
      <w:pPr>
        <w:spacing w:after="0"/>
        <w:jc w:val="both"/>
      </w:pPr>
    </w:p>
    <w:p w14:paraId="56D864EE" w14:textId="2B6C48AA" w:rsidR="00CA0CA1" w:rsidRDefault="002C1937" w:rsidP="00CA0CA1">
      <w:pPr>
        <w:spacing w:after="0"/>
        <w:jc w:val="both"/>
      </w:pPr>
      <w:r>
        <w:rPr>
          <w:lang w:val="cs"/>
        </w:rPr>
        <w:t>Kromě toho jsou tyto ukazatele začleněny do rámce řízení společnosti Amundi, přičemž odpovědnosti jsou rozděleny mezi první úroveň kontrol prováděných samotnými investičními týmy a druhou úroveň kontrol prováděných rizikovými týmy, které průběžně monitorují dodržování environmentálních nebo sociálních charakteristik propagovaných fondem.</w:t>
      </w:r>
    </w:p>
    <w:p w14:paraId="1EF67AB4" w14:textId="77777777" w:rsidR="00CA0CA1" w:rsidRDefault="00CA0CA1" w:rsidP="00CA0CA1">
      <w:pPr>
        <w:spacing w:after="0"/>
        <w:jc w:val="both"/>
      </w:pPr>
    </w:p>
    <w:p w14:paraId="64EFC712" w14:textId="7D938231" w:rsidR="00CA0CA1" w:rsidRDefault="002C1937" w:rsidP="00CA0CA1">
      <w:pPr>
        <w:spacing w:after="0"/>
        <w:jc w:val="both"/>
      </w:pPr>
      <w:r>
        <w:rPr>
          <w:lang w:val="cs"/>
        </w:rPr>
        <w:t>Hodnocení ESG společnosti Amundi, které se používá ke stanovení skóre ESG, je kvantitativní skóre ESG převedené na sedm úrovní, a to počínaje skupinou A (skupina nejlepších skóre) po skupinu G (nejhorší skóre). Na stupnici hodnocení ESG společnosti Amundi odpovídají cenné papíry ze seznamu vyloučených emitentů G. Výkonnost ESG je u firemních emitentů hodnocena globálně a na příslušné úrovni kritérií srovnáním s průměrnou výkonností v daném odvětví prostřednictvím kombinace tří dimenzí ESG.</w:t>
      </w:r>
    </w:p>
    <w:p w14:paraId="1F1357B6" w14:textId="77777777" w:rsidR="00CA0CA1" w:rsidRDefault="00CA0CA1" w:rsidP="00CA0CA1">
      <w:pPr>
        <w:spacing w:after="0"/>
        <w:jc w:val="both"/>
      </w:pPr>
    </w:p>
    <w:p w14:paraId="386D1FAE" w14:textId="66211AF0" w:rsidR="00CA0CA1" w:rsidRDefault="002C1937" w:rsidP="00CA0CA1">
      <w:pPr>
        <w:spacing w:after="0"/>
        <w:jc w:val="both"/>
      </w:pPr>
      <w:r>
        <w:rPr>
          <w:lang w:val="cs"/>
        </w:rPr>
        <w:t>Metodika využívaná hodnocením ESG společnosti Amundi se opírá o 38 kritérií, která jsou buď obecná (společná pro všechny společnosti bez ohledu na jejich činnost), nebo závislá na sektoru, v němž působí, a která jsou vážena podle sektoru a posuzována s ohledem na reputaci, provozní efektivitu a předpisy týkající se emitenta. Hodnocení ESG společnosti Amundi bude pravděpodobně vyjádřeno globálně na třech dimenzích E, S a G nebo jednotlivě na jakémkoli environmentálním nebo sociálním faktoru.</w:t>
      </w:r>
    </w:p>
    <w:p w14:paraId="34610FA0" w14:textId="77777777" w:rsidR="00CA0CA1" w:rsidRDefault="00CA0CA1" w:rsidP="00CA0CA1">
      <w:pPr>
        <w:spacing w:after="0"/>
        <w:jc w:val="both"/>
      </w:pPr>
    </w:p>
    <w:p w14:paraId="77429871" w14:textId="59B94A37" w:rsidR="00CA0CA1" w:rsidRDefault="002C1937" w:rsidP="00CA0CA1">
      <w:pPr>
        <w:spacing w:after="0"/>
        <w:jc w:val="both"/>
      </w:pPr>
      <w:r>
        <w:rPr>
          <w:lang w:val="cs"/>
        </w:rPr>
        <w:t xml:space="preserve">Skóre ESG společnosti Amundi jsou postavena na základě rámce analýzy ESG společnosti Amundi a metodiky hodnocení. Pro skóre ESG získáváme data z následujících zdrojů: Moody, ISS-Oekem, MSCI a Sustainalytics. </w:t>
      </w:r>
    </w:p>
    <w:p w14:paraId="6C8B2E31" w14:textId="77777777" w:rsidR="00BC02AF" w:rsidRDefault="002C1937" w:rsidP="00CA0CA1">
      <w:pPr>
        <w:spacing w:after="0"/>
        <w:jc w:val="both"/>
        <w:rPr>
          <w:lang w:val="cs"/>
        </w:rPr>
      </w:pPr>
      <w:r>
        <w:rPr>
          <w:lang w:val="cs"/>
        </w:rPr>
        <w:t>Naše omezení metodiky jsou založena na konstrukci spojené s použitím dat ESG. V současné době se standardizuje datové prostředí ESG, což může mít dopad na kvalitu dat. Pokrytí dat je rovněž omezeno. Současné a budoucí předpisy zlepší standardizované podávání zpráv a zveřejňování informací o společnosti, na které se data týkající se ESG spoléhají.</w:t>
      </w:r>
    </w:p>
    <w:p w14:paraId="7631640C" w14:textId="16DB0CEA" w:rsidR="00CA0CA1" w:rsidRDefault="002C1937" w:rsidP="00CA0CA1">
      <w:pPr>
        <w:spacing w:after="0"/>
        <w:jc w:val="both"/>
      </w:pPr>
      <w:r>
        <w:rPr>
          <w:lang w:val="cs"/>
        </w:rPr>
        <w:cr/>
        <w:t>Jsme si vědomi těchto omezení, která zmírňujeme kombinací přístupů.</w:t>
      </w:r>
    </w:p>
    <w:p w14:paraId="0EF0261D" w14:textId="77777777" w:rsidR="00CA0CA1" w:rsidRDefault="00CA0CA1" w:rsidP="00CA0CA1">
      <w:pPr>
        <w:spacing w:after="0"/>
        <w:jc w:val="both"/>
      </w:pPr>
    </w:p>
    <w:p w14:paraId="1AC25977" w14:textId="54C46F56" w:rsidR="00CA0CA1" w:rsidRDefault="002C1937" w:rsidP="00CA0CA1">
      <w:pPr>
        <w:spacing w:after="0"/>
        <w:jc w:val="both"/>
      </w:pPr>
      <w:r>
        <w:rPr>
          <w:lang w:val="cs"/>
        </w:rPr>
        <w:t xml:space="preserve">Skóre ESG se každý měsíc přepočítává podle kvantitativní metodiky společnosti Amundi. Výsledek tohoto výpočtu poté revidují analytici ESG, kteří provádějí kvalitativní „kontrolu vzorků“ ve svém sektoru na základě různých kontrol. </w:t>
      </w:r>
    </w:p>
    <w:p w14:paraId="24BDEE26" w14:textId="77777777" w:rsidR="00CA0CA1" w:rsidRDefault="00CA0CA1" w:rsidP="00CA0CA1">
      <w:pPr>
        <w:spacing w:after="0"/>
        <w:jc w:val="both"/>
      </w:pPr>
    </w:p>
    <w:p w14:paraId="3AFEC389" w14:textId="6FC647D0" w:rsidR="00660D2A" w:rsidRDefault="002C1937" w:rsidP="00CA0CA1">
      <w:pPr>
        <w:spacing w:after="0"/>
        <w:jc w:val="both"/>
      </w:pPr>
      <w:r>
        <w:rPr>
          <w:lang w:val="cs"/>
        </w:rPr>
        <w:lastRenderedPageBreak/>
        <w:t>Společnost Amundi angažuje investory nebo společnosti s potenciálními investory na úrovni emitenta bez ohledu na typ držených podílů (akcie a dluhopisy).</w:t>
      </w:r>
    </w:p>
    <w:p w14:paraId="3E9FA262" w14:textId="77777777" w:rsidR="00CA0CA1" w:rsidRPr="005E1D0B" w:rsidRDefault="00CA0CA1" w:rsidP="00CA0CA1">
      <w:pPr>
        <w:spacing w:after="0"/>
        <w:jc w:val="both"/>
      </w:pPr>
    </w:p>
    <w:sectPr w:rsidR="00CA0CA1" w:rsidRPr="005E1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F0A9" w14:textId="77777777" w:rsidR="00DF0586" w:rsidRDefault="00DF0586" w:rsidP="002C1937">
      <w:pPr>
        <w:spacing w:after="0" w:line="240" w:lineRule="auto"/>
      </w:pPr>
      <w:r>
        <w:separator/>
      </w:r>
    </w:p>
  </w:endnote>
  <w:endnote w:type="continuationSeparator" w:id="0">
    <w:p w14:paraId="324185D9" w14:textId="77777777" w:rsidR="00DF0586" w:rsidRDefault="00DF0586" w:rsidP="002C1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584E3" w14:textId="77777777" w:rsidR="00DF0586" w:rsidRDefault="00DF0586" w:rsidP="002C1937">
      <w:pPr>
        <w:spacing w:after="0" w:line="240" w:lineRule="auto"/>
      </w:pPr>
      <w:r>
        <w:separator/>
      </w:r>
    </w:p>
  </w:footnote>
  <w:footnote w:type="continuationSeparator" w:id="0">
    <w:p w14:paraId="4E7B8CA4" w14:textId="77777777" w:rsidR="00DF0586" w:rsidRDefault="00DF0586" w:rsidP="002C1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E1162"/>
    <w:multiLevelType w:val="hybridMultilevel"/>
    <w:tmpl w:val="6ACC7730"/>
    <w:lvl w:ilvl="0" w:tplc="E3C833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D08BEF4" w:tentative="1">
      <w:start w:val="1"/>
      <w:numFmt w:val="lowerLetter"/>
      <w:lvlText w:val="%2."/>
      <w:lvlJc w:val="left"/>
      <w:pPr>
        <w:ind w:left="1440" w:hanging="360"/>
      </w:pPr>
    </w:lvl>
    <w:lvl w:ilvl="2" w:tplc="335480A6" w:tentative="1">
      <w:start w:val="1"/>
      <w:numFmt w:val="lowerRoman"/>
      <w:lvlText w:val="%3."/>
      <w:lvlJc w:val="right"/>
      <w:pPr>
        <w:ind w:left="2160" w:hanging="180"/>
      </w:pPr>
    </w:lvl>
    <w:lvl w:ilvl="3" w:tplc="D42E8EE8" w:tentative="1">
      <w:start w:val="1"/>
      <w:numFmt w:val="decimal"/>
      <w:lvlText w:val="%4."/>
      <w:lvlJc w:val="left"/>
      <w:pPr>
        <w:ind w:left="2880" w:hanging="360"/>
      </w:pPr>
    </w:lvl>
    <w:lvl w:ilvl="4" w:tplc="C1F45A06" w:tentative="1">
      <w:start w:val="1"/>
      <w:numFmt w:val="lowerLetter"/>
      <w:lvlText w:val="%5."/>
      <w:lvlJc w:val="left"/>
      <w:pPr>
        <w:ind w:left="3600" w:hanging="360"/>
      </w:pPr>
    </w:lvl>
    <w:lvl w:ilvl="5" w:tplc="2F145AE0" w:tentative="1">
      <w:start w:val="1"/>
      <w:numFmt w:val="lowerRoman"/>
      <w:lvlText w:val="%6."/>
      <w:lvlJc w:val="right"/>
      <w:pPr>
        <w:ind w:left="4320" w:hanging="180"/>
      </w:pPr>
    </w:lvl>
    <w:lvl w:ilvl="6" w:tplc="A89E2872" w:tentative="1">
      <w:start w:val="1"/>
      <w:numFmt w:val="decimal"/>
      <w:lvlText w:val="%7."/>
      <w:lvlJc w:val="left"/>
      <w:pPr>
        <w:ind w:left="5040" w:hanging="360"/>
      </w:pPr>
    </w:lvl>
    <w:lvl w:ilvl="7" w:tplc="13A874BE" w:tentative="1">
      <w:start w:val="1"/>
      <w:numFmt w:val="lowerLetter"/>
      <w:lvlText w:val="%8."/>
      <w:lvlJc w:val="left"/>
      <w:pPr>
        <w:ind w:left="5760" w:hanging="360"/>
      </w:pPr>
    </w:lvl>
    <w:lvl w:ilvl="8" w:tplc="31B2D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44A4F"/>
    <w:multiLevelType w:val="hybridMultilevel"/>
    <w:tmpl w:val="22CEBE50"/>
    <w:lvl w:ilvl="0" w:tplc="A366F8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1764924" w:tentative="1">
      <w:start w:val="1"/>
      <w:numFmt w:val="lowerLetter"/>
      <w:lvlText w:val="%2."/>
      <w:lvlJc w:val="left"/>
      <w:pPr>
        <w:ind w:left="1440" w:hanging="360"/>
      </w:pPr>
    </w:lvl>
    <w:lvl w:ilvl="2" w:tplc="578ACFCA" w:tentative="1">
      <w:start w:val="1"/>
      <w:numFmt w:val="lowerRoman"/>
      <w:lvlText w:val="%3."/>
      <w:lvlJc w:val="right"/>
      <w:pPr>
        <w:ind w:left="2160" w:hanging="180"/>
      </w:pPr>
    </w:lvl>
    <w:lvl w:ilvl="3" w:tplc="2350104C" w:tentative="1">
      <w:start w:val="1"/>
      <w:numFmt w:val="decimal"/>
      <w:lvlText w:val="%4."/>
      <w:lvlJc w:val="left"/>
      <w:pPr>
        <w:ind w:left="2880" w:hanging="360"/>
      </w:pPr>
    </w:lvl>
    <w:lvl w:ilvl="4" w:tplc="711484A4" w:tentative="1">
      <w:start w:val="1"/>
      <w:numFmt w:val="lowerLetter"/>
      <w:lvlText w:val="%5."/>
      <w:lvlJc w:val="left"/>
      <w:pPr>
        <w:ind w:left="3600" w:hanging="360"/>
      </w:pPr>
    </w:lvl>
    <w:lvl w:ilvl="5" w:tplc="14A0B0BA" w:tentative="1">
      <w:start w:val="1"/>
      <w:numFmt w:val="lowerRoman"/>
      <w:lvlText w:val="%6."/>
      <w:lvlJc w:val="right"/>
      <w:pPr>
        <w:ind w:left="4320" w:hanging="180"/>
      </w:pPr>
    </w:lvl>
    <w:lvl w:ilvl="6" w:tplc="544C7C8E" w:tentative="1">
      <w:start w:val="1"/>
      <w:numFmt w:val="decimal"/>
      <w:lvlText w:val="%7."/>
      <w:lvlJc w:val="left"/>
      <w:pPr>
        <w:ind w:left="5040" w:hanging="360"/>
      </w:pPr>
    </w:lvl>
    <w:lvl w:ilvl="7" w:tplc="E4C61470" w:tentative="1">
      <w:start w:val="1"/>
      <w:numFmt w:val="lowerLetter"/>
      <w:lvlText w:val="%8."/>
      <w:lvlJc w:val="left"/>
      <w:pPr>
        <w:ind w:left="5760" w:hanging="360"/>
      </w:pPr>
    </w:lvl>
    <w:lvl w:ilvl="8" w:tplc="8E54AE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546428">
    <w:abstractNumId w:val="0"/>
  </w:num>
  <w:num w:numId="2" w16cid:durableId="158448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7C"/>
    <w:rsid w:val="000975C6"/>
    <w:rsid w:val="000D77E7"/>
    <w:rsid w:val="001510FB"/>
    <w:rsid w:val="001B13EB"/>
    <w:rsid w:val="002473A3"/>
    <w:rsid w:val="00252E7E"/>
    <w:rsid w:val="002C1937"/>
    <w:rsid w:val="0033164A"/>
    <w:rsid w:val="003C68FA"/>
    <w:rsid w:val="003F0A0C"/>
    <w:rsid w:val="005324D2"/>
    <w:rsid w:val="005E1D0B"/>
    <w:rsid w:val="00660D2A"/>
    <w:rsid w:val="006C2A16"/>
    <w:rsid w:val="00774DA0"/>
    <w:rsid w:val="007A3E2B"/>
    <w:rsid w:val="007C5B2B"/>
    <w:rsid w:val="008B40A5"/>
    <w:rsid w:val="009D31E9"/>
    <w:rsid w:val="00A13E02"/>
    <w:rsid w:val="00A70259"/>
    <w:rsid w:val="00A95E7C"/>
    <w:rsid w:val="00AA7FDA"/>
    <w:rsid w:val="00B363AE"/>
    <w:rsid w:val="00BC02AF"/>
    <w:rsid w:val="00C15A78"/>
    <w:rsid w:val="00C348D9"/>
    <w:rsid w:val="00C70481"/>
    <w:rsid w:val="00C91675"/>
    <w:rsid w:val="00CA0CA1"/>
    <w:rsid w:val="00CB6D7C"/>
    <w:rsid w:val="00D03AAD"/>
    <w:rsid w:val="00DA1CE3"/>
    <w:rsid w:val="00DF0586"/>
    <w:rsid w:val="00F6179F"/>
    <w:rsid w:val="00FC3984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2F6A4"/>
  <w15:chartTrackingRefBased/>
  <w15:docId w15:val="{3BA77637-9B32-4798-BF48-5FCD1D52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A1CE3"/>
  </w:style>
  <w:style w:type="paragraph" w:styleId="Heading1">
    <w:name w:val="heading 1"/>
    <w:basedOn w:val="Normal"/>
    <w:next w:val="Normal"/>
    <w:link w:val="Heading1Char"/>
    <w:uiPriority w:val="9"/>
    <w:qFormat/>
    <w:rsid w:val="00CB6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6D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6D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B6D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73A3"/>
    <w:pPr>
      <w:ind w:left="720"/>
      <w:contextualSpacing/>
    </w:pPr>
  </w:style>
  <w:style w:type="table" w:styleId="TableGrid">
    <w:name w:val="Table Grid"/>
    <w:basedOn w:val="TableNormal"/>
    <w:uiPriority w:val="39"/>
    <w:rsid w:val="005E1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937"/>
  </w:style>
  <w:style w:type="paragraph" w:styleId="Footer">
    <w:name w:val="footer"/>
    <w:basedOn w:val="Normal"/>
    <w:link w:val="FooterChar"/>
    <w:uiPriority w:val="99"/>
    <w:unhideWhenUsed/>
    <w:rsid w:val="002C1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937"/>
  </w:style>
  <w:style w:type="paragraph" w:styleId="Revision">
    <w:name w:val="Revision"/>
    <w:hidden/>
    <w:uiPriority w:val="99"/>
    <w:semiHidden/>
    <w:rsid w:val="002C1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Amundi Asset Management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Joly Pierre (AMUNDI-ITS)</dc:creator>
  <cp:lastModifiedBy>Giovanni Romano</cp:lastModifiedBy>
  <cp:revision>14</cp:revision>
  <dcterms:created xsi:type="dcterms:W3CDTF">2022-11-23T07:29:00Z</dcterms:created>
  <dcterms:modified xsi:type="dcterms:W3CDTF">2025-09-04T13:10:00Z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c45191-74e4-40a9-a4c5-ab5c9391e33a_ActionId">
    <vt:lpwstr>6db03e14-624e-4a7a-b582-84528a8e74ee</vt:lpwstr>
  </property>
  <property fmtid="{D5CDD505-2E9C-101B-9397-08002B2CF9AE}" pid="3" name="MSIP_Label_6ac45191-74e4-40a9-a4c5-ab5c9391e33a_ContentBits">
    <vt:lpwstr>0</vt:lpwstr>
  </property>
  <property fmtid="{D5CDD505-2E9C-101B-9397-08002B2CF9AE}" pid="4" name="MSIP_Label_6ac45191-74e4-40a9-a4c5-ab5c9391e33a_Enabled">
    <vt:lpwstr>true</vt:lpwstr>
  </property>
  <property fmtid="{D5CDD505-2E9C-101B-9397-08002B2CF9AE}" pid="5" name="MSIP_Label_6ac45191-74e4-40a9-a4c5-ab5c9391e33a_Method">
    <vt:lpwstr>Standard</vt:lpwstr>
  </property>
  <property fmtid="{D5CDD505-2E9C-101B-9397-08002B2CF9AE}" pid="6" name="MSIP_Label_6ac45191-74e4-40a9-a4c5-ab5c9391e33a_Name">
    <vt:lpwstr>Internal Data</vt:lpwstr>
  </property>
  <property fmtid="{D5CDD505-2E9C-101B-9397-08002B2CF9AE}" pid="7" name="MSIP_Label_6ac45191-74e4-40a9-a4c5-ab5c9391e33a_SetDate">
    <vt:lpwstr>2022-07-08T12:53:13Z</vt:lpwstr>
  </property>
  <property fmtid="{D5CDD505-2E9C-101B-9397-08002B2CF9AE}" pid="8" name="MSIP_Label_6ac45191-74e4-40a9-a4c5-ab5c9391e33a_SiteId">
    <vt:lpwstr>a5c34232-eadc-4609-bff3-dd6fcdae3fe2</vt:lpwstr>
  </property>
</Properties>
</file>